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80" w:lineRule="exact"/>
        <w:rPr>
          <w:rStyle w:val="6"/>
          <w:rFonts w:eastAsia="黑体"/>
          <w:b w:val="0"/>
          <w:sz w:val="32"/>
          <w:szCs w:val="32"/>
        </w:rPr>
      </w:pPr>
      <w:r>
        <w:rPr>
          <w:rStyle w:val="6"/>
          <w:rFonts w:eastAsia="黑体"/>
          <w:b w:val="0"/>
          <w:sz w:val="32"/>
          <w:szCs w:val="32"/>
        </w:rPr>
        <w:t>附件1</w:t>
      </w:r>
    </w:p>
    <w:p>
      <w:pPr>
        <w:keepNext w:val="0"/>
        <w:keepLines w:val="0"/>
        <w:pageBreakBefore w:val="0"/>
        <w:widowControl w:val="0"/>
        <w:kinsoku/>
        <w:wordWrap/>
        <w:overflowPunct/>
        <w:topLinePunct w:val="0"/>
        <w:autoSpaceDE/>
        <w:autoSpaceDN/>
        <w:bidi w:val="0"/>
        <w:adjustRightInd/>
        <w:snapToGrid w:val="0"/>
        <w:spacing w:before="625" w:beforeLines="200" w:after="469" w:afterLines="150" w:line="58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sz w:val="40"/>
          <w:szCs w:val="40"/>
        </w:rPr>
      </w:pPr>
      <w:r>
        <w:rPr>
          <w:rStyle w:val="6"/>
          <w:rFonts w:hint="eastAsia" w:ascii="方正小标宋简体" w:hAnsi="方正小标宋简体" w:eastAsia="方正小标宋简体" w:cs="方正小标宋简体"/>
          <w:b w:val="0"/>
          <w:sz w:val="40"/>
          <w:szCs w:val="40"/>
        </w:rPr>
        <w:t>网络安全技术应用试点示范重点方向</w:t>
      </w:r>
    </w:p>
    <w:p>
      <w:pPr>
        <w:snapToGrid w:val="0"/>
        <w:spacing w:beforeLines="0" w:afterLines="0" w:line="580" w:lineRule="exact"/>
        <w:ind w:firstLine="640" w:firstLineChars="200"/>
        <w:outlineLvl w:val="1"/>
        <w:rPr>
          <w:rFonts w:hint="eastAsia" w:eastAsia="仿宋_GB2312"/>
          <w:sz w:val="32"/>
          <w:szCs w:val="32"/>
        </w:rPr>
      </w:pPr>
      <w:r>
        <w:rPr>
          <w:rFonts w:hint="eastAsia" w:eastAsia="仿宋_GB2312"/>
          <w:sz w:val="32"/>
          <w:szCs w:val="32"/>
        </w:rPr>
        <w:t>以下</w:t>
      </w:r>
      <w:r>
        <w:rPr>
          <w:rFonts w:hint="default" w:eastAsia="仿宋_GB2312"/>
          <w:sz w:val="32"/>
          <w:szCs w:val="32"/>
        </w:rPr>
        <w:t>试点</w:t>
      </w:r>
      <w:r>
        <w:rPr>
          <w:rFonts w:hint="eastAsia" w:eastAsia="仿宋_GB2312"/>
          <w:sz w:val="32"/>
          <w:szCs w:val="32"/>
        </w:rPr>
        <w:t>示范方向</w:t>
      </w:r>
      <w:r>
        <w:rPr>
          <w:rFonts w:hint="default" w:eastAsia="仿宋_GB2312"/>
          <w:sz w:val="32"/>
          <w:szCs w:val="32"/>
        </w:rPr>
        <w:t>均</w:t>
      </w:r>
      <w:r>
        <w:rPr>
          <w:rFonts w:hint="eastAsia" w:eastAsia="仿宋_GB2312"/>
          <w:sz w:val="32"/>
          <w:szCs w:val="32"/>
        </w:rPr>
        <w:t>面向</w:t>
      </w:r>
      <w:r>
        <w:rPr>
          <w:rFonts w:hint="eastAsia" w:eastAsia="仿宋_GB2312"/>
          <w:color w:val="auto"/>
          <w:sz w:val="32"/>
          <w:szCs w:val="32"/>
          <w:highlight w:val="none"/>
        </w:rPr>
        <w:t>公共通信和信息服务、</w:t>
      </w:r>
      <w:r>
        <w:rPr>
          <w:rFonts w:hint="default" w:eastAsia="仿宋_GB2312"/>
          <w:color w:val="auto"/>
          <w:sz w:val="32"/>
          <w:szCs w:val="32"/>
          <w:highlight w:val="none"/>
        </w:rPr>
        <w:t>人力资源社会保障、</w:t>
      </w:r>
      <w:r>
        <w:rPr>
          <w:rFonts w:hint="eastAsia" w:eastAsia="仿宋_GB2312"/>
          <w:color w:val="auto"/>
          <w:sz w:val="32"/>
          <w:szCs w:val="32"/>
          <w:highlight w:val="none"/>
        </w:rPr>
        <w:t>水利、</w:t>
      </w:r>
      <w:r>
        <w:rPr>
          <w:rFonts w:hint="default" w:eastAsia="仿宋_GB2312"/>
          <w:color w:val="auto"/>
          <w:sz w:val="32"/>
          <w:szCs w:val="32"/>
          <w:highlight w:val="none"/>
        </w:rPr>
        <w:t>卫生健康</w:t>
      </w:r>
      <w:r>
        <w:rPr>
          <w:rFonts w:hint="eastAsia" w:eastAsia="仿宋_GB2312"/>
          <w:color w:val="auto"/>
          <w:sz w:val="32"/>
          <w:szCs w:val="32"/>
          <w:highlight w:val="none"/>
        </w:rPr>
        <w:t>、应急管理、广播电视</w:t>
      </w:r>
      <w:r>
        <w:rPr>
          <w:rFonts w:hint="default" w:eastAsia="仿宋_GB2312"/>
          <w:color w:val="auto"/>
          <w:sz w:val="32"/>
          <w:szCs w:val="32"/>
          <w:highlight w:val="none"/>
        </w:rPr>
        <w:t>、</w:t>
      </w:r>
      <w:r>
        <w:rPr>
          <w:rFonts w:hint="eastAsia" w:eastAsia="仿宋_GB2312"/>
          <w:color w:val="auto"/>
          <w:sz w:val="32"/>
          <w:szCs w:val="32"/>
          <w:highlight w:val="none"/>
        </w:rPr>
        <w:t>金融、</w:t>
      </w:r>
      <w:r>
        <w:rPr>
          <w:rFonts w:hint="default" w:eastAsia="仿宋_GB2312"/>
          <w:color w:val="auto"/>
          <w:sz w:val="32"/>
          <w:szCs w:val="32"/>
          <w:highlight w:val="none"/>
        </w:rPr>
        <w:t>交通运输、邮政等</w:t>
      </w:r>
      <w:r>
        <w:rPr>
          <w:rFonts w:hint="eastAsia" w:eastAsia="仿宋_GB2312"/>
          <w:color w:val="auto"/>
          <w:sz w:val="32"/>
          <w:szCs w:val="32"/>
          <w:highlight w:val="none"/>
        </w:rPr>
        <w:t>行业领域</w:t>
      </w:r>
      <w:r>
        <w:rPr>
          <w:rFonts w:hint="default" w:eastAsia="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val="0"/>
        <w:spacing w:beforeLines="0" w:afterLines="0" w:line="580" w:lineRule="exact"/>
        <w:ind w:left="0" w:leftChars="0" w:right="0" w:rightChars="0" w:firstLine="640" w:firstLineChars="200"/>
        <w:textAlignment w:val="auto"/>
        <w:outlineLvl w:val="0"/>
        <w:rPr>
          <w:rFonts w:eastAsia="黑体"/>
          <w:sz w:val="32"/>
          <w:szCs w:val="32"/>
        </w:rPr>
      </w:pPr>
      <w:r>
        <w:rPr>
          <w:rFonts w:eastAsia="黑体"/>
          <w:sz w:val="32"/>
          <w:szCs w:val="32"/>
        </w:rPr>
        <w:t>一、新型信息基础设施安全类</w:t>
      </w:r>
    </w:p>
    <w:p>
      <w:pPr>
        <w:keepNext w:val="0"/>
        <w:keepLines w:val="0"/>
        <w:pageBreakBefore w:val="0"/>
        <w:widowControl w:val="0"/>
        <w:kinsoku/>
        <w:wordWrap/>
        <w:overflowPunct/>
        <w:topLinePunct w:val="0"/>
        <w:autoSpaceDE/>
        <w:autoSpaceDN/>
        <w:bidi w:val="0"/>
        <w:adjustRightInd/>
        <w:snapToGrid w:val="0"/>
        <w:spacing w:beforeLines="0" w:afterLines="0" w:line="580" w:lineRule="exact"/>
        <w:ind w:left="0" w:leftChars="0" w:right="0" w:rightChars="0" w:firstLine="640" w:firstLineChars="200"/>
        <w:textAlignment w:val="auto"/>
        <w:outlineLvl w:val="1"/>
        <w:rPr>
          <w:rFonts w:hint="eastAsia" w:eastAsia="仿宋_GB2312"/>
          <w:sz w:val="32"/>
          <w:szCs w:val="32"/>
        </w:rPr>
      </w:pPr>
      <w:r>
        <w:rPr>
          <w:rFonts w:hint="eastAsia" w:eastAsia="楷体_GB2312"/>
          <w:sz w:val="32"/>
          <w:szCs w:val="32"/>
        </w:rPr>
        <w:t>（一）基础网络安全</w:t>
      </w:r>
      <w:r>
        <w:rPr>
          <w:rFonts w:hint="eastAsia" w:eastAsia="仿宋_GB2312"/>
          <w:sz w:val="32"/>
          <w:szCs w:val="32"/>
        </w:rPr>
        <w:t>。面向基础通信网络安全需求，提供网络资产测绘、监测预警、追踪溯源、应急处置等能力，助力跨企业、跨网络的一体化网络安全联合防御体系建设，面向“5G+”融合应用场景，探索安全关键技术创新应用、试验验证，促进区块链、后量子密码、零信任、内生安全等新兴技术在新型网络和安全领域应用，发挥基础网络和技术优势，强化基础网络安全感知、分析、响应、决策等综合防控能力，强化对重要行业领域、重点企业的安全保障支撑，提供安全能力对外赋能等方面的安全解决方案。</w:t>
      </w:r>
    </w:p>
    <w:p>
      <w:pPr>
        <w:keepNext w:val="0"/>
        <w:keepLines w:val="0"/>
        <w:pageBreakBefore w:val="0"/>
        <w:widowControl w:val="0"/>
        <w:kinsoku/>
        <w:wordWrap/>
        <w:overflowPunct/>
        <w:topLinePunct w:val="0"/>
        <w:autoSpaceDE/>
        <w:autoSpaceDN/>
        <w:bidi w:val="0"/>
        <w:adjustRightInd/>
        <w:snapToGrid w:val="0"/>
        <w:spacing w:beforeLines="0" w:afterLines="0" w:line="580" w:lineRule="exact"/>
        <w:ind w:left="0" w:leftChars="0" w:right="0" w:rightChars="0" w:firstLine="640" w:firstLineChars="200"/>
        <w:textAlignment w:val="auto"/>
        <w:outlineLvl w:val="1"/>
        <w:rPr>
          <w:rFonts w:eastAsia="仿宋_GB2312"/>
          <w:sz w:val="32"/>
          <w:szCs w:val="32"/>
        </w:rPr>
      </w:pPr>
      <w:r>
        <w:rPr>
          <w:rFonts w:eastAsia="楷体_GB2312"/>
          <w:sz w:val="32"/>
          <w:szCs w:val="32"/>
        </w:rPr>
        <w:t>（</w:t>
      </w:r>
      <w:r>
        <w:rPr>
          <w:rFonts w:hint="eastAsia" w:eastAsia="楷体_GB2312"/>
          <w:sz w:val="32"/>
          <w:szCs w:val="32"/>
        </w:rPr>
        <w:t>二</w:t>
      </w:r>
      <w:r>
        <w:rPr>
          <w:rFonts w:eastAsia="楷体_GB2312"/>
          <w:sz w:val="32"/>
          <w:szCs w:val="32"/>
        </w:rPr>
        <w:t>）云计算安全。</w:t>
      </w:r>
      <w:r>
        <w:rPr>
          <w:rFonts w:eastAsia="仿宋_GB2312"/>
          <w:sz w:val="32"/>
          <w:szCs w:val="32"/>
        </w:rPr>
        <w:t>面向云网、算网等新型融合架构，多云、边缘云、分布式云等云部署模式，云环境中云主机、云存储、云网络等基础资源，以及云上业务、应用等服务，采用云身份管理、软件定义边界、云工作负载保护等技术实现云架构安全、云原生安全、多网边界隔离、跨网安全交互、多网一体化防护，</w:t>
      </w:r>
      <w:r>
        <w:rPr>
          <w:rFonts w:hint="eastAsia" w:eastAsia="仿宋_GB2312"/>
          <w:sz w:val="32"/>
          <w:szCs w:val="32"/>
        </w:rPr>
        <w:t>聚焦云、网、应用深度融合场景需求，为公有云用户提供集约化、数据互通、云网一体化，面向政务网、工业云等一体化防护需求，构建云、网、端协同联动，多网“一朵云”“一端多网”安全管控，</w:t>
      </w:r>
      <w:r>
        <w:rPr>
          <w:rFonts w:eastAsia="仿宋_GB2312"/>
          <w:sz w:val="32"/>
          <w:szCs w:val="32"/>
        </w:rPr>
        <w:t>保障云上资源安全可靠、云上业务运行稳定的安全解决方案。</w:t>
      </w:r>
    </w:p>
    <w:p>
      <w:pPr>
        <w:keepNext w:val="0"/>
        <w:keepLines w:val="0"/>
        <w:pageBreakBefore w:val="0"/>
        <w:widowControl w:val="0"/>
        <w:kinsoku/>
        <w:wordWrap/>
        <w:overflowPunct/>
        <w:topLinePunct w:val="0"/>
        <w:autoSpaceDE/>
        <w:autoSpaceDN/>
        <w:bidi w:val="0"/>
        <w:adjustRightInd/>
        <w:snapToGrid w:val="0"/>
        <w:spacing w:beforeLines="0" w:afterLines="0" w:line="580" w:lineRule="exact"/>
        <w:ind w:left="0" w:leftChars="0" w:right="0" w:rightChars="0" w:firstLine="640" w:firstLineChars="200"/>
        <w:textAlignment w:val="auto"/>
        <w:outlineLvl w:val="1"/>
        <w:rPr>
          <w:rFonts w:eastAsia="仿宋_GB2312"/>
          <w:sz w:val="32"/>
          <w:szCs w:val="32"/>
        </w:rPr>
      </w:pPr>
      <w:r>
        <w:rPr>
          <w:rFonts w:eastAsia="楷体_GB2312"/>
          <w:sz w:val="32"/>
          <w:szCs w:val="32"/>
        </w:rPr>
        <w:t>（</w:t>
      </w:r>
      <w:r>
        <w:rPr>
          <w:rFonts w:hint="eastAsia" w:eastAsia="楷体_GB2312"/>
          <w:sz w:val="32"/>
          <w:szCs w:val="32"/>
        </w:rPr>
        <w:t>三</w:t>
      </w:r>
      <w:r>
        <w:rPr>
          <w:rFonts w:eastAsia="楷体_GB2312"/>
          <w:sz w:val="32"/>
          <w:szCs w:val="32"/>
        </w:rPr>
        <w:t>）人工智能安全。</w:t>
      </w:r>
      <w:r>
        <w:rPr>
          <w:rFonts w:hint="eastAsia" w:eastAsia="仿宋_GB2312"/>
          <w:sz w:val="32"/>
          <w:szCs w:val="32"/>
        </w:rPr>
        <w:t>面向智慧工厂、智能通信、智慧金融、公共安全</w:t>
      </w:r>
      <w:r>
        <w:rPr>
          <w:rFonts w:hint="default" w:eastAsia="仿宋_GB2312"/>
          <w:sz w:val="32"/>
          <w:szCs w:val="32"/>
        </w:rPr>
        <w:t>、内容生产审核推荐</w:t>
      </w:r>
      <w:r>
        <w:rPr>
          <w:rFonts w:hint="eastAsia" w:eastAsia="仿宋_GB2312"/>
          <w:sz w:val="32"/>
          <w:szCs w:val="32"/>
        </w:rPr>
        <w:t>等典型应用场景，针对人工智能基础研发平台、核心算法、训练数据、智能应用的安全需求，在机器学习框架漏洞挖掘和修复、鲁棒性及公平性评测和增强、智能应用安全风险监测预警，面向高效能计算基础设施，在人工智能公共资源库、标准</w:t>
      </w:r>
      <w:r>
        <w:rPr>
          <w:rFonts w:hint="default" w:eastAsia="仿宋_GB2312"/>
          <w:sz w:val="32"/>
          <w:szCs w:val="32"/>
        </w:rPr>
        <w:t>规范库</w:t>
      </w:r>
      <w:r>
        <w:rPr>
          <w:rFonts w:hint="eastAsia" w:eastAsia="仿宋_GB2312"/>
          <w:sz w:val="32"/>
          <w:szCs w:val="32"/>
        </w:rPr>
        <w:t>、安全测评工具集等方面提供人工智能基础设施安全保障支撑等的安全解决方案。</w:t>
      </w:r>
    </w:p>
    <w:p>
      <w:pPr>
        <w:keepNext w:val="0"/>
        <w:keepLines w:val="0"/>
        <w:pageBreakBefore w:val="0"/>
        <w:widowControl w:val="0"/>
        <w:kinsoku/>
        <w:wordWrap/>
        <w:overflowPunct/>
        <w:topLinePunct w:val="0"/>
        <w:autoSpaceDE/>
        <w:autoSpaceDN/>
        <w:bidi w:val="0"/>
        <w:adjustRightInd/>
        <w:snapToGrid w:val="0"/>
        <w:spacing w:beforeLines="0" w:afterLines="0" w:line="580" w:lineRule="exact"/>
        <w:ind w:left="0" w:leftChars="0" w:right="0" w:rightChars="0" w:firstLine="640" w:firstLineChars="200"/>
        <w:textAlignment w:val="auto"/>
        <w:outlineLvl w:val="1"/>
        <w:rPr>
          <w:rFonts w:hint="eastAsia" w:eastAsia="仿宋_GB2312"/>
          <w:sz w:val="32"/>
          <w:szCs w:val="32"/>
        </w:rPr>
      </w:pPr>
      <w:r>
        <w:rPr>
          <w:rFonts w:eastAsia="楷体_GB2312"/>
          <w:sz w:val="32"/>
          <w:szCs w:val="32"/>
        </w:rPr>
        <w:t>（</w:t>
      </w:r>
      <w:r>
        <w:rPr>
          <w:rFonts w:hint="eastAsia" w:eastAsia="楷体_GB2312"/>
          <w:sz w:val="32"/>
          <w:szCs w:val="32"/>
        </w:rPr>
        <w:t>四</w:t>
      </w:r>
      <w:r>
        <w:rPr>
          <w:rFonts w:eastAsia="楷体_GB2312"/>
          <w:sz w:val="32"/>
          <w:szCs w:val="32"/>
        </w:rPr>
        <w:t>）大数据安全。</w:t>
      </w:r>
      <w:r>
        <w:rPr>
          <w:rFonts w:eastAsia="仿宋_GB2312"/>
          <w:sz w:val="32"/>
          <w:szCs w:val="32"/>
        </w:rPr>
        <w:t>面向</w:t>
      </w:r>
      <w:r>
        <w:rPr>
          <w:rFonts w:hint="eastAsia" w:eastAsia="仿宋_GB2312"/>
          <w:sz w:val="32"/>
          <w:szCs w:val="32"/>
        </w:rPr>
        <w:t>构建绿色、集约、安全的大数据中心，</w:t>
      </w:r>
      <w:r>
        <w:rPr>
          <w:rFonts w:eastAsia="仿宋_GB2312"/>
          <w:sz w:val="32"/>
          <w:szCs w:val="32"/>
        </w:rPr>
        <w:t>推动商用密码、区块链等技术应用，促进安全</w:t>
      </w:r>
      <w:r>
        <w:rPr>
          <w:rFonts w:hint="eastAsia" w:eastAsia="仿宋_GB2312"/>
          <w:sz w:val="32"/>
          <w:szCs w:val="32"/>
        </w:rPr>
        <w:t>资源整合</w:t>
      </w:r>
      <w:r>
        <w:rPr>
          <w:rFonts w:hint="default" w:eastAsia="仿宋_GB2312"/>
          <w:sz w:val="32"/>
          <w:szCs w:val="32"/>
        </w:rPr>
        <w:t>和</w:t>
      </w:r>
      <w:r>
        <w:rPr>
          <w:rFonts w:hint="eastAsia" w:eastAsia="仿宋_GB2312"/>
          <w:sz w:val="32"/>
          <w:szCs w:val="32"/>
        </w:rPr>
        <w:t>共享，</w:t>
      </w:r>
      <w:r>
        <w:rPr>
          <w:rFonts w:hint="default" w:eastAsia="仿宋_GB2312"/>
          <w:sz w:val="32"/>
          <w:szCs w:val="32"/>
        </w:rPr>
        <w:t>强化</w:t>
      </w:r>
      <w:r>
        <w:rPr>
          <w:rFonts w:hint="eastAsia" w:eastAsia="仿宋_GB2312"/>
          <w:sz w:val="32"/>
          <w:szCs w:val="32"/>
        </w:rPr>
        <w:t>大数据基础设施</w:t>
      </w:r>
      <w:r>
        <w:rPr>
          <w:rFonts w:hint="default" w:eastAsia="仿宋_GB2312"/>
          <w:sz w:val="32"/>
          <w:szCs w:val="32"/>
        </w:rPr>
        <w:t>网络</w:t>
      </w:r>
      <w:r>
        <w:rPr>
          <w:rFonts w:hint="eastAsia" w:eastAsia="仿宋_GB2312"/>
          <w:sz w:val="32"/>
          <w:szCs w:val="32"/>
        </w:rPr>
        <w:t>安全，</w:t>
      </w:r>
      <w:r>
        <w:rPr>
          <w:rFonts w:eastAsia="仿宋_GB2312"/>
          <w:sz w:val="32"/>
          <w:szCs w:val="32"/>
        </w:rPr>
        <w:t>打造弹性异构、全局感知的大数据中心网络安全保障解决方案。面向大数据应用层安全，探索构建大数据安全中台，研发大数据应用网络安全解决方案，提升安全防护、态势感知、攻击预警、精准决策、应急响应、安全运维、存证取证等能力</w:t>
      </w:r>
      <w:r>
        <w:rPr>
          <w:rFonts w:hint="default" w:eastAsia="仿宋_GB2312"/>
          <w:sz w:val="32"/>
          <w:szCs w:val="32"/>
        </w:rPr>
        <w:t>。</w:t>
      </w:r>
    </w:p>
    <w:p>
      <w:pPr>
        <w:keepNext w:val="0"/>
        <w:keepLines w:val="0"/>
        <w:pageBreakBefore w:val="0"/>
        <w:widowControl w:val="0"/>
        <w:kinsoku/>
        <w:wordWrap/>
        <w:overflowPunct/>
        <w:topLinePunct w:val="0"/>
        <w:autoSpaceDE/>
        <w:autoSpaceDN/>
        <w:bidi w:val="0"/>
        <w:adjustRightInd/>
        <w:snapToGrid w:val="0"/>
        <w:spacing w:beforeLines="0" w:afterLines="0" w:line="580" w:lineRule="exact"/>
        <w:ind w:left="0" w:leftChars="0" w:right="0" w:rightChars="0" w:firstLine="640" w:firstLineChars="200"/>
        <w:textAlignment w:val="auto"/>
        <w:outlineLvl w:val="1"/>
        <w:rPr>
          <w:rFonts w:hint="eastAsia" w:eastAsia="仿宋_GB2312"/>
          <w:sz w:val="32"/>
          <w:szCs w:val="32"/>
        </w:rPr>
      </w:pPr>
      <w:r>
        <w:rPr>
          <w:rFonts w:eastAsia="楷体_GB2312"/>
          <w:sz w:val="32"/>
          <w:szCs w:val="32"/>
        </w:rPr>
        <w:t>（</w:t>
      </w:r>
      <w:r>
        <w:rPr>
          <w:rFonts w:hint="eastAsia" w:eastAsia="楷体_GB2312"/>
          <w:sz w:val="32"/>
          <w:szCs w:val="32"/>
        </w:rPr>
        <w:t>五</w:t>
      </w:r>
      <w:r>
        <w:rPr>
          <w:rFonts w:eastAsia="楷体_GB2312"/>
          <w:sz w:val="32"/>
          <w:szCs w:val="32"/>
        </w:rPr>
        <w:t>）信创安全。</w:t>
      </w:r>
      <w:r>
        <w:rPr>
          <w:rFonts w:eastAsia="仿宋_GB2312"/>
          <w:sz w:val="32"/>
          <w:szCs w:val="22"/>
        </w:rPr>
        <w:t>聚焦网络</w:t>
      </w:r>
      <w:r>
        <w:rPr>
          <w:rFonts w:eastAsia="仿宋_GB2312"/>
          <w:sz w:val="32"/>
          <w:szCs w:val="32"/>
        </w:rPr>
        <w:t>基础设施、</w:t>
      </w:r>
      <w:r>
        <w:rPr>
          <w:rFonts w:eastAsia="仿宋_GB2312"/>
          <w:sz w:val="32"/>
          <w:szCs w:val="22"/>
        </w:rPr>
        <w:t>业务</w:t>
      </w:r>
      <w:r>
        <w:rPr>
          <w:rFonts w:eastAsia="仿宋_GB2312"/>
          <w:sz w:val="32"/>
          <w:szCs w:val="32"/>
        </w:rPr>
        <w:t>支撑平台、信息资源</w:t>
      </w:r>
      <w:r>
        <w:rPr>
          <w:rFonts w:eastAsia="仿宋_GB2312"/>
          <w:sz w:val="32"/>
          <w:szCs w:val="22"/>
        </w:rPr>
        <w:t>管理</w:t>
      </w:r>
      <w:r>
        <w:rPr>
          <w:rFonts w:eastAsia="仿宋_GB2312"/>
          <w:sz w:val="32"/>
          <w:szCs w:val="32"/>
        </w:rPr>
        <w:t>、业务</w:t>
      </w:r>
      <w:r>
        <w:rPr>
          <w:rFonts w:eastAsia="仿宋_GB2312"/>
          <w:sz w:val="32"/>
          <w:szCs w:val="22"/>
        </w:rPr>
        <w:t>系统</w:t>
      </w:r>
      <w:r>
        <w:rPr>
          <w:rFonts w:eastAsia="仿宋_GB2312"/>
          <w:sz w:val="32"/>
          <w:szCs w:val="32"/>
        </w:rPr>
        <w:t>应用、</w:t>
      </w:r>
      <w:r>
        <w:rPr>
          <w:rFonts w:eastAsia="仿宋_GB2312"/>
          <w:sz w:val="32"/>
          <w:szCs w:val="22"/>
        </w:rPr>
        <w:t>网络</w:t>
      </w:r>
      <w:r>
        <w:rPr>
          <w:rFonts w:eastAsia="仿宋_GB2312"/>
          <w:sz w:val="32"/>
          <w:szCs w:val="32"/>
        </w:rPr>
        <w:t>安全保障、</w:t>
      </w:r>
      <w:r>
        <w:rPr>
          <w:rFonts w:eastAsia="仿宋_GB2312"/>
          <w:sz w:val="32"/>
          <w:szCs w:val="22"/>
        </w:rPr>
        <w:t>监测</w:t>
      </w:r>
      <w:r>
        <w:rPr>
          <w:rFonts w:eastAsia="仿宋_GB2312"/>
          <w:sz w:val="32"/>
          <w:szCs w:val="32"/>
        </w:rPr>
        <w:t>运行维护、终端服务等应用场景，</w:t>
      </w:r>
      <w:r>
        <w:rPr>
          <w:rFonts w:hint="eastAsia" w:eastAsia="仿宋_GB2312"/>
          <w:sz w:val="32"/>
          <w:szCs w:val="32"/>
        </w:rPr>
        <w:t>提供漏洞扫描、日志审计、网络资产测绘、监测预警、溯源分析、态势感知、管理运维等安全能力，</w:t>
      </w:r>
      <w:r>
        <w:rPr>
          <w:rFonts w:eastAsia="仿宋_GB2312"/>
          <w:sz w:val="32"/>
          <w:szCs w:val="32"/>
        </w:rPr>
        <w:t>探索</w:t>
      </w:r>
      <w:r>
        <w:rPr>
          <w:rFonts w:hint="eastAsia" w:eastAsia="仿宋_GB2312"/>
          <w:sz w:val="32"/>
          <w:szCs w:val="32"/>
        </w:rPr>
        <w:t>建设</w:t>
      </w:r>
      <w:r>
        <w:rPr>
          <w:rFonts w:hint="default" w:eastAsia="仿宋_GB2312"/>
          <w:sz w:val="32"/>
          <w:szCs w:val="32"/>
        </w:rPr>
        <w:t>面向</w:t>
      </w:r>
      <w:r>
        <w:rPr>
          <w:rFonts w:hint="eastAsia" w:eastAsia="仿宋_GB2312"/>
          <w:sz w:val="32"/>
          <w:szCs w:val="32"/>
        </w:rPr>
        <w:t>重要行业领域典型信创场景的适配验证中心、服务平台等，遴选</w:t>
      </w:r>
      <w:r>
        <w:rPr>
          <w:rFonts w:eastAsia="仿宋_GB2312"/>
          <w:sz w:val="32"/>
          <w:szCs w:val="32"/>
        </w:rPr>
        <w:t>具有自主知识产权、符合国内技术路线的</w:t>
      </w:r>
      <w:r>
        <w:rPr>
          <w:rFonts w:hint="eastAsia" w:eastAsia="仿宋_GB2312"/>
          <w:sz w:val="32"/>
          <w:szCs w:val="32"/>
        </w:rPr>
        <w:t>安全</w:t>
      </w:r>
      <w:r>
        <w:rPr>
          <w:rFonts w:eastAsia="仿宋_GB2312"/>
          <w:sz w:val="32"/>
          <w:szCs w:val="32"/>
        </w:rPr>
        <w:t>解决方案。</w:t>
      </w:r>
    </w:p>
    <w:p>
      <w:pPr>
        <w:keepNext w:val="0"/>
        <w:keepLines w:val="0"/>
        <w:pageBreakBefore w:val="0"/>
        <w:widowControl w:val="0"/>
        <w:kinsoku/>
        <w:wordWrap/>
        <w:overflowPunct/>
        <w:topLinePunct w:val="0"/>
        <w:autoSpaceDE/>
        <w:autoSpaceDN/>
        <w:bidi w:val="0"/>
        <w:adjustRightInd/>
        <w:snapToGrid w:val="0"/>
        <w:spacing w:beforeLines="0" w:afterLines="0" w:line="580" w:lineRule="exact"/>
        <w:ind w:left="0" w:leftChars="0" w:right="0" w:rightChars="0" w:firstLine="640" w:firstLineChars="200"/>
        <w:textAlignment w:val="auto"/>
        <w:outlineLvl w:val="1"/>
        <w:rPr>
          <w:rFonts w:hint="eastAsia" w:eastAsia="仿宋_GB2312"/>
          <w:sz w:val="32"/>
          <w:szCs w:val="32"/>
        </w:rPr>
      </w:pPr>
      <w:r>
        <w:rPr>
          <w:rFonts w:hint="eastAsia" w:eastAsia="楷体_GB2312"/>
          <w:sz w:val="32"/>
          <w:szCs w:val="32"/>
        </w:rPr>
        <w:t>（六）商用密码</w:t>
      </w:r>
      <w:r>
        <w:rPr>
          <w:rFonts w:hint="eastAsia" w:eastAsia="仿宋_GB2312"/>
          <w:sz w:val="32"/>
          <w:szCs w:val="32"/>
        </w:rPr>
        <w:t>。</w:t>
      </w:r>
      <w:r>
        <w:rPr>
          <w:rFonts w:hint="default" w:eastAsia="仿宋_GB2312"/>
          <w:sz w:val="32"/>
          <w:szCs w:val="32"/>
        </w:rPr>
        <w:t>面向</w:t>
      </w:r>
      <w:r>
        <w:rPr>
          <w:rFonts w:eastAsia="仿宋_GB2312"/>
          <w:sz w:val="32"/>
          <w:szCs w:val="32"/>
        </w:rPr>
        <w:t>重要</w:t>
      </w:r>
      <w:r>
        <w:rPr>
          <w:rFonts w:hint="default" w:eastAsia="仿宋_GB2312"/>
          <w:sz w:val="32"/>
          <w:szCs w:val="32"/>
        </w:rPr>
        <w:t>行业领域典型</w:t>
      </w:r>
      <w:r>
        <w:rPr>
          <w:rFonts w:hint="eastAsia" w:eastAsia="仿宋_GB2312"/>
          <w:sz w:val="32"/>
          <w:szCs w:val="32"/>
        </w:rPr>
        <w:t>应用场景，</w:t>
      </w:r>
      <w:r>
        <w:rPr>
          <w:rFonts w:hint="default" w:eastAsia="仿宋_GB2312"/>
          <w:sz w:val="32"/>
          <w:szCs w:val="32"/>
        </w:rPr>
        <w:t>探索商用密码</w:t>
      </w:r>
      <w:r>
        <w:rPr>
          <w:rFonts w:hint="eastAsia" w:eastAsia="仿宋_GB2312"/>
          <w:sz w:val="32"/>
          <w:szCs w:val="32"/>
        </w:rPr>
        <w:t>在密码算法、密码设备、检测认证服务等方面的解决方案，以及应用商用密码的网络身份认证、设备安全接入认证、数据加密、加密计算、加密搜索等解决方案。</w:t>
      </w:r>
    </w:p>
    <w:p>
      <w:pPr>
        <w:keepNext w:val="0"/>
        <w:keepLines w:val="0"/>
        <w:pageBreakBefore w:val="0"/>
        <w:widowControl w:val="0"/>
        <w:kinsoku/>
        <w:wordWrap/>
        <w:overflowPunct/>
        <w:topLinePunct w:val="0"/>
        <w:autoSpaceDE/>
        <w:autoSpaceDN/>
        <w:bidi w:val="0"/>
        <w:adjustRightInd/>
        <w:snapToGrid w:val="0"/>
        <w:spacing w:beforeLines="0" w:afterLines="0" w:line="580" w:lineRule="exact"/>
        <w:ind w:left="0" w:leftChars="0" w:right="0" w:rightChars="0" w:firstLine="640" w:firstLineChars="200"/>
        <w:textAlignment w:val="auto"/>
        <w:outlineLvl w:val="0"/>
        <w:rPr>
          <w:rFonts w:eastAsia="黑体"/>
          <w:sz w:val="32"/>
          <w:szCs w:val="32"/>
        </w:rPr>
      </w:pPr>
      <w:r>
        <w:rPr>
          <w:rFonts w:eastAsia="黑体"/>
          <w:sz w:val="32"/>
          <w:szCs w:val="32"/>
        </w:rPr>
        <w:t>二、数字化应用场景安全类</w:t>
      </w:r>
    </w:p>
    <w:p>
      <w:pPr>
        <w:keepNext w:val="0"/>
        <w:keepLines w:val="0"/>
        <w:pageBreakBefore w:val="0"/>
        <w:widowControl w:val="0"/>
        <w:kinsoku/>
        <w:wordWrap/>
        <w:overflowPunct/>
        <w:topLinePunct w:val="0"/>
        <w:autoSpaceDE/>
        <w:autoSpaceDN/>
        <w:bidi w:val="0"/>
        <w:adjustRightInd/>
        <w:snapToGrid w:val="0"/>
        <w:spacing w:beforeLines="0" w:afterLines="0" w:line="580" w:lineRule="exact"/>
        <w:ind w:left="0" w:leftChars="0" w:right="0" w:rightChars="0" w:firstLine="640" w:firstLineChars="200"/>
        <w:textAlignment w:val="auto"/>
        <w:outlineLvl w:val="1"/>
        <w:rPr>
          <w:rFonts w:eastAsia="仿宋_GB2312"/>
          <w:sz w:val="32"/>
          <w:szCs w:val="32"/>
        </w:rPr>
      </w:pPr>
      <w:r>
        <w:rPr>
          <w:rFonts w:eastAsia="楷体_GB2312"/>
          <w:sz w:val="32"/>
          <w:szCs w:val="32"/>
        </w:rPr>
        <w:t>（</w:t>
      </w:r>
      <w:r>
        <w:rPr>
          <w:rFonts w:hint="eastAsia" w:eastAsia="楷体_GB2312"/>
          <w:sz w:val="32"/>
          <w:szCs w:val="32"/>
        </w:rPr>
        <w:t>七</w:t>
      </w:r>
      <w:r>
        <w:rPr>
          <w:rFonts w:eastAsia="楷体_GB2312"/>
          <w:sz w:val="32"/>
          <w:szCs w:val="32"/>
        </w:rPr>
        <w:t>）车联网安全。</w:t>
      </w:r>
      <w:r>
        <w:rPr>
          <w:rFonts w:eastAsia="仿宋_GB2312"/>
          <w:sz w:val="32"/>
          <w:szCs w:val="32"/>
        </w:rPr>
        <w:t>面向在线升级（OTA）、远程诊断监控、自动驾驶、车路协同、智慧交通等典型场景，</w:t>
      </w:r>
      <w:r>
        <w:rPr>
          <w:rFonts w:hint="eastAsia" w:eastAsia="仿宋_GB2312"/>
          <w:sz w:val="32"/>
          <w:szCs w:val="32"/>
        </w:rPr>
        <w:t>解决车云、车车、车路、车设备通信安全需求，</w:t>
      </w:r>
      <w:r>
        <w:rPr>
          <w:rFonts w:eastAsia="仿宋_GB2312"/>
          <w:sz w:val="32"/>
          <w:szCs w:val="32"/>
        </w:rPr>
        <w:t>针对智能驾驶系统、联网关键设备、网络基础设施、车联网服务平台等</w:t>
      </w:r>
      <w:r>
        <w:rPr>
          <w:rFonts w:hint="eastAsia" w:eastAsia="仿宋_GB2312"/>
          <w:sz w:val="32"/>
          <w:szCs w:val="32"/>
        </w:rPr>
        <w:t>安全认证及通信安全保障等</w:t>
      </w:r>
      <w:r>
        <w:rPr>
          <w:rFonts w:eastAsia="仿宋_GB2312"/>
          <w:sz w:val="32"/>
          <w:szCs w:val="32"/>
        </w:rPr>
        <w:t>网络安全需求，在轻量化防护、安全认证、威胁监测、应急处置、检测评估等方面的安全解决方案。</w:t>
      </w:r>
    </w:p>
    <w:p>
      <w:pPr>
        <w:keepNext w:val="0"/>
        <w:keepLines w:val="0"/>
        <w:pageBreakBefore w:val="0"/>
        <w:widowControl w:val="0"/>
        <w:kinsoku/>
        <w:wordWrap/>
        <w:overflowPunct/>
        <w:topLinePunct w:val="0"/>
        <w:autoSpaceDE/>
        <w:autoSpaceDN/>
        <w:bidi w:val="0"/>
        <w:adjustRightInd/>
        <w:snapToGrid w:val="0"/>
        <w:spacing w:beforeLines="0" w:afterLines="0" w:line="580" w:lineRule="exact"/>
        <w:ind w:left="0" w:leftChars="0" w:right="0" w:rightChars="0" w:firstLine="640" w:firstLineChars="200"/>
        <w:textAlignment w:val="auto"/>
        <w:outlineLvl w:val="1"/>
        <w:rPr>
          <w:rFonts w:eastAsia="仿宋_GB2312"/>
          <w:sz w:val="32"/>
          <w:szCs w:val="32"/>
        </w:rPr>
      </w:pPr>
      <w:r>
        <w:rPr>
          <w:rFonts w:eastAsia="楷体_GB2312"/>
          <w:sz w:val="32"/>
          <w:szCs w:val="32"/>
        </w:rPr>
        <w:t>（</w:t>
      </w:r>
      <w:r>
        <w:rPr>
          <w:rFonts w:hint="eastAsia" w:eastAsia="楷体_GB2312"/>
          <w:sz w:val="32"/>
          <w:szCs w:val="32"/>
        </w:rPr>
        <w:t>八</w:t>
      </w:r>
      <w:r>
        <w:rPr>
          <w:rFonts w:eastAsia="楷体_GB2312"/>
          <w:sz w:val="32"/>
          <w:szCs w:val="32"/>
        </w:rPr>
        <w:t>）物联网安全。</w:t>
      </w:r>
      <w:r>
        <w:rPr>
          <w:rFonts w:eastAsia="仿宋_GB2312"/>
          <w:sz w:val="32"/>
          <w:szCs w:val="32"/>
        </w:rPr>
        <w:t>面向智能家居、智能抄表、零售服务、智能安防、智能穿戴设备等典型场景应用，</w:t>
      </w:r>
      <w:r>
        <w:rPr>
          <w:rFonts w:hint="eastAsia" w:eastAsia="仿宋_GB2312"/>
          <w:sz w:val="32"/>
          <w:szCs w:val="32"/>
        </w:rPr>
        <w:t>强化</w:t>
      </w:r>
      <w:r>
        <w:rPr>
          <w:rFonts w:eastAsia="仿宋_GB2312"/>
          <w:sz w:val="32"/>
          <w:szCs w:val="32"/>
        </w:rPr>
        <w:t>物联网终端设备及固件安全威胁监测、固移融合物联网安全接入、异构物联网端到端安全防护、物联资产管理、物联网平台安全防护</w:t>
      </w:r>
      <w:r>
        <w:rPr>
          <w:rFonts w:hint="eastAsia" w:eastAsia="仿宋_GB2312"/>
          <w:sz w:val="32"/>
          <w:szCs w:val="32"/>
        </w:rPr>
        <w:t>，面向智慧城市安全，适配智慧城市</w:t>
      </w:r>
      <w:r>
        <w:rPr>
          <w:rFonts w:hint="default" w:eastAsia="仿宋_GB2312"/>
          <w:sz w:val="32"/>
          <w:szCs w:val="32"/>
        </w:rPr>
        <w:t>中的典型</w:t>
      </w:r>
      <w:r>
        <w:rPr>
          <w:rFonts w:hint="eastAsia" w:eastAsia="仿宋_GB2312"/>
          <w:sz w:val="32"/>
          <w:szCs w:val="32"/>
        </w:rPr>
        <w:t>业务场景，构建网络安全防御能力集群、智慧城市安全大脑，实现网络安全感知、分析、响应、决策能力提升，大规模临时组网安全能力快速部署，以及城市安全运行保障</w:t>
      </w:r>
      <w:r>
        <w:rPr>
          <w:rFonts w:eastAsia="仿宋_GB2312"/>
          <w:sz w:val="32"/>
          <w:szCs w:val="32"/>
        </w:rPr>
        <w:t>等方面的安全解决方案。</w:t>
      </w:r>
    </w:p>
    <w:p>
      <w:pPr>
        <w:keepNext w:val="0"/>
        <w:keepLines w:val="0"/>
        <w:pageBreakBefore w:val="0"/>
        <w:widowControl w:val="0"/>
        <w:kinsoku/>
        <w:wordWrap/>
        <w:overflowPunct/>
        <w:topLinePunct w:val="0"/>
        <w:autoSpaceDE/>
        <w:autoSpaceDN/>
        <w:bidi w:val="0"/>
        <w:adjustRightInd/>
        <w:snapToGrid w:val="0"/>
        <w:spacing w:beforeLines="0" w:afterLines="0" w:line="580" w:lineRule="exact"/>
        <w:ind w:left="0" w:leftChars="0" w:right="0" w:rightChars="0" w:firstLine="640" w:firstLineChars="200"/>
        <w:textAlignment w:val="auto"/>
        <w:outlineLvl w:val="1"/>
        <w:rPr>
          <w:rFonts w:eastAsia="仿宋_GB2312"/>
          <w:sz w:val="32"/>
          <w:szCs w:val="32"/>
        </w:rPr>
      </w:pPr>
      <w:r>
        <w:rPr>
          <w:rFonts w:eastAsia="楷体_GB2312"/>
          <w:sz w:val="32"/>
          <w:szCs w:val="32"/>
        </w:rPr>
        <w:t>（</w:t>
      </w:r>
      <w:r>
        <w:rPr>
          <w:rFonts w:hint="eastAsia" w:eastAsia="楷体_GB2312"/>
          <w:sz w:val="32"/>
          <w:szCs w:val="32"/>
        </w:rPr>
        <w:t>九</w:t>
      </w:r>
      <w:r>
        <w:rPr>
          <w:rFonts w:eastAsia="楷体_GB2312"/>
          <w:sz w:val="32"/>
          <w:szCs w:val="32"/>
        </w:rPr>
        <w:t>）中小企业数字化转型安全。</w:t>
      </w:r>
      <w:r>
        <w:rPr>
          <w:rFonts w:eastAsia="仿宋_GB2312"/>
          <w:sz w:val="32"/>
          <w:szCs w:val="32"/>
        </w:rPr>
        <w:t>面向中小企业数字化转型中的共性、急需场景，聚焦中小企业在企业管理、资源整合、业务开展、生态建设等面临的网络安全风险，探索增强供需匹配度、开展全流程服务、研制轻量化应用、深化生态级协作等转型实际需求的安全解决方案。</w:t>
      </w:r>
    </w:p>
    <w:p>
      <w:pPr>
        <w:keepNext w:val="0"/>
        <w:keepLines w:val="0"/>
        <w:pageBreakBefore w:val="0"/>
        <w:widowControl w:val="0"/>
        <w:kinsoku/>
        <w:wordWrap/>
        <w:overflowPunct/>
        <w:topLinePunct w:val="0"/>
        <w:autoSpaceDE/>
        <w:autoSpaceDN/>
        <w:bidi w:val="0"/>
        <w:adjustRightInd/>
        <w:snapToGrid w:val="0"/>
        <w:spacing w:beforeLines="0" w:afterLines="0" w:line="580" w:lineRule="exact"/>
        <w:ind w:left="0" w:leftChars="0" w:right="0" w:rightChars="0" w:firstLine="640" w:firstLineChars="200"/>
        <w:textAlignment w:val="auto"/>
        <w:outlineLvl w:val="0"/>
        <w:rPr>
          <w:rFonts w:eastAsia="黑体"/>
          <w:sz w:val="32"/>
          <w:szCs w:val="32"/>
        </w:rPr>
      </w:pPr>
      <w:r>
        <w:rPr>
          <w:rFonts w:eastAsia="黑体"/>
          <w:sz w:val="32"/>
          <w:szCs w:val="32"/>
        </w:rPr>
        <w:t>三、安全基础能力提升类</w:t>
      </w:r>
    </w:p>
    <w:p>
      <w:pPr>
        <w:keepNext w:val="0"/>
        <w:keepLines w:val="0"/>
        <w:pageBreakBefore w:val="0"/>
        <w:widowControl w:val="0"/>
        <w:kinsoku/>
        <w:wordWrap/>
        <w:overflowPunct/>
        <w:topLinePunct w:val="0"/>
        <w:autoSpaceDE/>
        <w:autoSpaceDN/>
        <w:bidi w:val="0"/>
        <w:adjustRightInd/>
        <w:snapToGrid w:val="0"/>
        <w:spacing w:beforeLines="0" w:afterLines="0" w:line="580" w:lineRule="exact"/>
        <w:ind w:left="0" w:leftChars="0" w:right="0" w:rightChars="0" w:firstLine="640" w:firstLineChars="200"/>
        <w:textAlignment w:val="auto"/>
        <w:outlineLvl w:val="1"/>
        <w:rPr>
          <w:rFonts w:eastAsia="仿宋_GB2312"/>
          <w:sz w:val="32"/>
          <w:szCs w:val="32"/>
        </w:rPr>
      </w:pPr>
      <w:r>
        <w:rPr>
          <w:rFonts w:eastAsia="楷体_GB2312"/>
          <w:sz w:val="32"/>
          <w:szCs w:val="32"/>
        </w:rPr>
        <w:t>（</w:t>
      </w:r>
      <w:r>
        <w:rPr>
          <w:rFonts w:hint="eastAsia" w:eastAsia="楷体_GB2312"/>
          <w:sz w:val="32"/>
          <w:szCs w:val="32"/>
        </w:rPr>
        <w:t>十</w:t>
      </w:r>
      <w:r>
        <w:rPr>
          <w:rFonts w:eastAsia="楷体_GB2312"/>
          <w:sz w:val="32"/>
          <w:szCs w:val="32"/>
        </w:rPr>
        <w:t>）网络安全共性技术。</w:t>
      </w:r>
      <w:r>
        <w:rPr>
          <w:rFonts w:eastAsia="仿宋_GB2312"/>
          <w:sz w:val="32"/>
          <w:szCs w:val="32"/>
        </w:rPr>
        <w:t>以促进重要行业领域网络安全能力为目标，面向关键软硬件安全，在基础技术、工具、协议、操作系统等方面的创新攻关成果，面向传统防护类、检测类、分析类网络安全产品，在能力集约化、智能化、精益化等方面的优化升级，以及面向网络开放互联、边界模糊、暴露面扩大等共性问题，在强化网络安全架构内生、网络安全能力互操作、自适应发展等方面的安全解决方案。</w:t>
      </w:r>
    </w:p>
    <w:p>
      <w:pPr>
        <w:keepNext w:val="0"/>
        <w:keepLines w:val="0"/>
        <w:pageBreakBefore w:val="0"/>
        <w:widowControl w:val="0"/>
        <w:kinsoku/>
        <w:wordWrap/>
        <w:overflowPunct/>
        <w:topLinePunct w:val="0"/>
        <w:autoSpaceDE/>
        <w:autoSpaceDN/>
        <w:bidi w:val="0"/>
        <w:adjustRightInd/>
        <w:snapToGrid w:val="0"/>
        <w:spacing w:beforeLines="0" w:afterLines="0" w:line="580" w:lineRule="exact"/>
        <w:ind w:left="0" w:leftChars="0" w:right="0" w:rightChars="0" w:firstLine="640" w:firstLineChars="200"/>
        <w:textAlignment w:val="auto"/>
        <w:outlineLvl w:val="1"/>
        <w:rPr>
          <w:rFonts w:eastAsia="仿宋_GB2312"/>
          <w:sz w:val="32"/>
          <w:szCs w:val="32"/>
        </w:rPr>
      </w:pPr>
      <w:r>
        <w:rPr>
          <w:rFonts w:eastAsia="楷体_GB2312"/>
          <w:sz w:val="32"/>
          <w:szCs w:val="32"/>
        </w:rPr>
        <w:t>（十</w:t>
      </w:r>
      <w:r>
        <w:rPr>
          <w:rFonts w:hint="eastAsia" w:eastAsia="楷体_GB2312"/>
          <w:sz w:val="32"/>
          <w:szCs w:val="32"/>
        </w:rPr>
        <w:t>一</w:t>
      </w:r>
      <w:r>
        <w:rPr>
          <w:rFonts w:eastAsia="楷体_GB2312"/>
          <w:sz w:val="32"/>
          <w:szCs w:val="32"/>
        </w:rPr>
        <w:t>）网络安全创新服务。</w:t>
      </w:r>
      <w:r>
        <w:rPr>
          <w:rFonts w:eastAsia="仿宋_GB2312"/>
          <w:sz w:val="32"/>
          <w:szCs w:val="32"/>
        </w:rPr>
        <w:t>为重要行业领域提供安全防护一体化，安全托管、安全咨询、安全运营等安全服务专业化，安全能力自动化、流程化、工具化，威胁情报精准化、智能化的公共服务平台；提供网络安全基础知识库、底层引擎、网络仿真环境、安全孪生试验床等的共性基础支撑平台；提供网络资产测绘、漏洞挖掘、监测预警、检测评估、应急处置、态势感知、信息共享、攻击溯源等专业服务平台。</w:t>
      </w:r>
    </w:p>
    <w:p>
      <w:pPr>
        <w:keepNext w:val="0"/>
        <w:keepLines w:val="0"/>
        <w:pageBreakBefore w:val="0"/>
        <w:widowControl w:val="0"/>
        <w:kinsoku/>
        <w:wordWrap/>
        <w:overflowPunct/>
        <w:topLinePunct w:val="0"/>
        <w:autoSpaceDE/>
        <w:autoSpaceDN/>
        <w:bidi w:val="0"/>
        <w:adjustRightInd/>
        <w:snapToGrid w:val="0"/>
        <w:spacing w:beforeLines="0" w:afterLines="0" w:line="580" w:lineRule="exact"/>
        <w:ind w:left="0" w:leftChars="0" w:right="0" w:rightChars="0" w:firstLine="640" w:firstLineChars="200"/>
        <w:textAlignment w:val="auto"/>
        <w:outlineLvl w:val="1"/>
        <w:rPr>
          <w:rFonts w:hint="eastAsia" w:eastAsia="楷体_GB2312"/>
          <w:sz w:val="32"/>
          <w:szCs w:val="32"/>
        </w:rPr>
      </w:pPr>
      <w:r>
        <w:rPr>
          <w:rFonts w:eastAsia="楷体_GB2312"/>
          <w:sz w:val="32"/>
          <w:szCs w:val="32"/>
        </w:rPr>
        <w:t>（十</w:t>
      </w:r>
      <w:r>
        <w:rPr>
          <w:rFonts w:hint="eastAsia" w:eastAsia="楷体_GB2312"/>
          <w:sz w:val="32"/>
          <w:szCs w:val="32"/>
        </w:rPr>
        <w:t>二</w:t>
      </w:r>
      <w:r>
        <w:rPr>
          <w:rFonts w:eastAsia="楷体_GB2312"/>
          <w:sz w:val="32"/>
          <w:szCs w:val="32"/>
        </w:rPr>
        <w:t>）教育技术产业融合发展联合体。</w:t>
      </w:r>
      <w:r>
        <w:rPr>
          <w:rFonts w:eastAsia="仿宋_GB2312"/>
          <w:sz w:val="32"/>
          <w:szCs w:val="32"/>
        </w:rPr>
        <w:t>面向产业重大发展战略需求，支持</w:t>
      </w:r>
      <w:r>
        <w:rPr>
          <w:rFonts w:hint="eastAsia" w:eastAsia="仿宋_GB2312"/>
          <w:sz w:val="32"/>
          <w:szCs w:val="32"/>
        </w:rPr>
        <w:t>由</w:t>
      </w:r>
      <w:r>
        <w:rPr>
          <w:rFonts w:eastAsia="仿宋_GB2312"/>
          <w:sz w:val="32"/>
          <w:szCs w:val="32"/>
        </w:rPr>
        <w:t>龙头企业、高等院校、公共服务平台机构等创新主体</w:t>
      </w:r>
      <w:r>
        <w:rPr>
          <w:rFonts w:hint="eastAsia" w:eastAsia="仿宋_GB2312"/>
          <w:sz w:val="32"/>
          <w:szCs w:val="32"/>
        </w:rPr>
        <w:t>中两类及以上主体组成的</w:t>
      </w:r>
      <w:r>
        <w:rPr>
          <w:rFonts w:eastAsia="仿宋_GB2312"/>
          <w:sz w:val="32"/>
          <w:szCs w:val="32"/>
        </w:rPr>
        <w:t>创新联合体</w:t>
      </w:r>
      <w:r>
        <w:rPr>
          <w:rFonts w:hint="eastAsia" w:eastAsia="仿宋_GB2312"/>
          <w:sz w:val="32"/>
          <w:szCs w:val="32"/>
        </w:rPr>
        <w:t>建设，促进教产资源共享、企校优势互补、成果转化落地、产业协同创新、人才定向培育</w:t>
      </w:r>
      <w:r>
        <w:rPr>
          <w:rFonts w:hint="eastAsia" w:eastAsia="仿宋_GB2312"/>
          <w:sz w:val="32"/>
          <w:szCs w:val="32"/>
          <w:lang w:eastAsia="zh-CN"/>
        </w:rPr>
        <w:t>。</w:t>
      </w:r>
      <w:r>
        <w:rPr>
          <w:rFonts w:eastAsia="仿宋_GB2312"/>
          <w:sz w:val="32"/>
          <w:szCs w:val="32"/>
        </w:rPr>
        <w:t>立足于产业强链补链固链要求，开展关键技术协同创新和开放合作，加快科研成果转移转化</w:t>
      </w:r>
      <w:r>
        <w:rPr>
          <w:rFonts w:hint="eastAsia" w:eastAsia="仿宋_GB2312"/>
          <w:sz w:val="32"/>
          <w:szCs w:val="32"/>
          <w:lang w:eastAsia="zh-CN"/>
        </w:rPr>
        <w:t>。</w:t>
      </w:r>
      <w:r>
        <w:rPr>
          <w:rFonts w:hint="eastAsia" w:eastAsia="仿宋_GB2312"/>
          <w:sz w:val="32"/>
          <w:szCs w:val="32"/>
        </w:rPr>
        <w:t>鼓励企业建设人才技能培养实训基地，搭建教育培训、成果转化等平台。</w:t>
      </w:r>
    </w:p>
    <w:p>
      <w:pPr>
        <w:keepNext w:val="0"/>
        <w:keepLines w:val="0"/>
        <w:pageBreakBefore w:val="0"/>
        <w:widowControl w:val="0"/>
        <w:kinsoku/>
        <w:wordWrap/>
        <w:overflowPunct/>
        <w:topLinePunct w:val="0"/>
        <w:autoSpaceDE/>
        <w:autoSpaceDN/>
        <w:bidi w:val="0"/>
        <w:adjustRightInd/>
        <w:snapToGrid w:val="0"/>
        <w:spacing w:beforeLines="0" w:afterLines="0" w:line="580" w:lineRule="exact"/>
        <w:ind w:left="0" w:leftChars="0" w:right="0" w:rightChars="0" w:firstLine="640" w:firstLineChars="200"/>
        <w:textAlignment w:val="auto"/>
        <w:outlineLvl w:val="1"/>
        <w:rPr>
          <w:rFonts w:hint="eastAsia" w:ascii="仿宋_GB2312" w:hAnsi="仿宋_GB2312" w:eastAsia="仿宋_GB2312" w:cs="仿宋_GB2312"/>
          <w:sz w:val="32"/>
          <w:szCs w:val="32"/>
        </w:rPr>
      </w:pPr>
      <w:r>
        <w:rPr>
          <w:rFonts w:eastAsia="楷体_GB2312"/>
          <w:sz w:val="32"/>
          <w:szCs w:val="32"/>
        </w:rPr>
        <w:t>（十</w:t>
      </w:r>
      <w:r>
        <w:rPr>
          <w:rFonts w:hint="eastAsia" w:eastAsia="楷体_GB2312"/>
          <w:sz w:val="32"/>
          <w:szCs w:val="32"/>
        </w:rPr>
        <w:t>三</w:t>
      </w:r>
      <w:r>
        <w:rPr>
          <w:rFonts w:eastAsia="楷体_GB2312"/>
          <w:sz w:val="32"/>
          <w:szCs w:val="32"/>
        </w:rPr>
        <w:t>）</w:t>
      </w:r>
      <w:bookmarkStart w:id="0" w:name="_Hlk86838849"/>
      <w:r>
        <w:rPr>
          <w:rFonts w:eastAsia="楷体_GB2312"/>
          <w:sz w:val="32"/>
          <w:szCs w:val="32"/>
        </w:rPr>
        <w:t>网络安全</w:t>
      </w:r>
      <w:r>
        <w:rPr>
          <w:rFonts w:hint="eastAsia" w:eastAsia="楷体_GB2312"/>
          <w:sz w:val="32"/>
          <w:szCs w:val="32"/>
        </w:rPr>
        <w:t>“</w:t>
      </w:r>
      <w:r>
        <w:rPr>
          <w:rFonts w:eastAsia="楷体_GB2312"/>
          <w:sz w:val="32"/>
          <w:szCs w:val="32"/>
        </w:rPr>
        <w:t>高精尖</w:t>
      </w:r>
      <w:r>
        <w:rPr>
          <w:rFonts w:hint="eastAsia" w:eastAsia="楷体_GB2312"/>
          <w:sz w:val="32"/>
          <w:szCs w:val="32"/>
        </w:rPr>
        <w:t>”</w:t>
      </w:r>
      <w:r>
        <w:rPr>
          <w:rFonts w:eastAsia="楷体_GB2312"/>
          <w:sz w:val="32"/>
          <w:szCs w:val="32"/>
        </w:rPr>
        <w:t>创新平台</w:t>
      </w:r>
      <w:bookmarkEnd w:id="0"/>
      <w:r>
        <w:rPr>
          <w:rFonts w:eastAsia="楷体_GB2312"/>
          <w:sz w:val="32"/>
          <w:szCs w:val="32"/>
        </w:rPr>
        <w:t>。</w:t>
      </w:r>
      <w:r>
        <w:rPr>
          <w:rFonts w:hint="eastAsia" w:ascii="仿宋_GB2312" w:hAnsi="仿宋_GB2312" w:eastAsia="仿宋_GB2312" w:cs="仿宋_GB2312"/>
          <w:sz w:val="32"/>
          <w:szCs w:val="32"/>
        </w:rPr>
        <w:t>面向前</w:t>
      </w:r>
      <w:r>
        <w:rPr>
          <w:rFonts w:eastAsia="仿宋_GB2312"/>
          <w:sz w:val="32"/>
          <w:szCs w:val="32"/>
        </w:rPr>
        <w:t>沿性、创新性、先导性网</w:t>
      </w:r>
      <w:bookmarkStart w:id="1" w:name="_GoBack"/>
      <w:bookmarkEnd w:id="1"/>
      <w:r>
        <w:rPr>
          <w:rFonts w:eastAsia="仿宋_GB2312"/>
          <w:sz w:val="32"/>
          <w:szCs w:val="32"/>
        </w:rPr>
        <w:t>络安全理念，汇聚产学研用等创新资源，加快实现</w:t>
      </w:r>
      <w:r>
        <w:rPr>
          <w:rFonts w:hint="eastAsia" w:ascii="仿宋_GB2312" w:hAnsi="仿宋_GB2312" w:eastAsia="仿宋_GB2312" w:cs="仿宋_GB2312"/>
          <w:sz w:val="32"/>
          <w:szCs w:val="32"/>
        </w:rPr>
        <w:t>网络安全“高精尖”技术创新融合，打造具备核心技术攻关、产业化应用推广等关键环节协同创新环境和载体</w:t>
      </w:r>
      <w:r>
        <w:rPr>
          <w:rFonts w:hint="default" w:ascii="仿宋_GB2312" w:hAnsi="仿宋_GB2312" w:eastAsia="仿宋_GB2312" w:cs="仿宋_GB2312"/>
          <w:sz w:val="32"/>
          <w:szCs w:val="32"/>
        </w:rPr>
        <w:t>的网络安全技术创新或试点示范区</w:t>
      </w:r>
      <w:r>
        <w:rPr>
          <w:rFonts w:hint="eastAsia" w:ascii="仿宋_GB2312" w:hAnsi="仿宋_GB2312" w:eastAsia="仿宋_GB2312" w:cs="仿宋_GB2312"/>
          <w:sz w:val="32"/>
          <w:szCs w:val="32"/>
        </w:rPr>
        <w:t>，打造产融合作的网络安全产业生态优化解决方案。</w:t>
      </w:r>
    </w:p>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3B1D96C-F835-4F7A-9E5C-EAB6DC1992DF}"/>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26CF041D-06BE-4FE8-A499-C0127A22418D}"/>
  </w:font>
  <w:font w:name="方正小标宋简体">
    <w:panose1 w:val="02000000000000000000"/>
    <w:charset w:val="86"/>
    <w:family w:val="auto"/>
    <w:pitch w:val="default"/>
    <w:sig w:usb0="00000001" w:usb1="08000000" w:usb2="00000000" w:usb3="00000000" w:csb0="00040000" w:csb1="00000000"/>
    <w:embedRegular r:id="rId3" w:fontKey="{BBDA8D68-71DC-4826-93F0-842AEC70F258}"/>
  </w:font>
  <w:font w:name="仿宋_GB2312">
    <w:panose1 w:val="02010609030101010101"/>
    <w:charset w:val="86"/>
    <w:family w:val="auto"/>
    <w:pitch w:val="default"/>
    <w:sig w:usb0="00000001" w:usb1="080E0000" w:usb2="00000000" w:usb3="00000000" w:csb0="00040000" w:csb1="00000000"/>
    <w:embedRegular r:id="rId4" w:fontKey="{C2785B46-05FB-483F-925A-8BBBF5D0F947}"/>
  </w:font>
  <w:font w:name="楷体_GB2312">
    <w:altName w:val="楷体"/>
    <w:panose1 w:val="02010609030101010101"/>
    <w:charset w:val="86"/>
    <w:family w:val="decorative"/>
    <w:pitch w:val="default"/>
    <w:sig w:usb0="00000000" w:usb1="00000000" w:usb2="00000000" w:usb3="00000000" w:csb0="00040000" w:csb1="00000000"/>
    <w:embedRegular r:id="rId5" w:fontKey="{87871BD6-3B2B-4B72-8376-9CF876F56EB7}"/>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ffectLst/>
                    </wps:spPr>
                    <wps:txbx>
                      <w:txbxContent>
                        <w:p>
                          <w:pPr>
                            <w:pStyle w:val="3"/>
                            <w:rPr>
                              <w:rStyle w:val="7"/>
                            </w:rPr>
                          </w:pPr>
                          <w:r>
                            <w:fldChar w:fldCharType="begin"/>
                          </w:r>
                          <w:r>
                            <w:rPr>
                              <w:rStyle w:val="7"/>
                            </w:rPr>
                            <w:instrText xml:space="preserve">PAGE  </w:instrText>
                          </w:r>
                          <w:r>
                            <w:fldChar w:fldCharType="separate"/>
                          </w:r>
                          <w:r>
                            <w:rPr>
                              <w:rStyle w:val="7"/>
                            </w:rPr>
                            <w:t>1</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&#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Pi91E0AAAAAIBAAAPAAAAAAAAAAEAIAAAACIAAABk&#10;cnMvZG93bnJldi54bWxQSwECFAAUAAAACACHTuJAryjuOg4CAAAPBAAADgAAAAAAAAABACAAAAAf&#10;AQAAZHJzL2Uyb0RvYy54bWxQSwUGAAAAAAYABgBZAQAAnwUAAAAA&#10;">
              <v:path/>
              <v:fill on="f" focussize="0,0"/>
              <v:stroke on="f"/>
              <v:imagedata o:title=""/>
              <o:lock v:ext="edit" aspectratio="f"/>
              <v:textbox inset="0mm,0mm,0mm,0mm" style="mso-fit-shape-to-text:t;">
                <w:txbxContent>
                  <w:p>
                    <w:pPr>
                      <w:pStyle w:val="3"/>
                      <w:rPr>
                        <w:rStyle w:val="7"/>
                      </w:rPr>
                    </w:pPr>
                    <w:r>
                      <w:fldChar w:fldCharType="begin"/>
                    </w:r>
                    <w:r>
                      <w:rPr>
                        <w:rStyle w:val="7"/>
                      </w:rPr>
                      <w:instrText xml:space="preserve">PAGE  </w:instrText>
                    </w:r>
                    <w:r>
                      <w:fldChar w:fldCharType="separate"/>
                    </w:r>
                    <w:r>
                      <w:rPr>
                        <w:rStyle w:val="7"/>
                      </w:rP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5MDI2ODFmNmFjNDViMzMxNzE0MDcwMTg5OGY3M2MifQ=="/>
  </w:docVars>
  <w:rsids>
    <w:rsidRoot w:val="00000000"/>
    <w:rsid w:val="0D6463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afterLines="0"/>
    </w:pPr>
    <w:rPr>
      <w:rFonts w:ascii="Times New Roman" w:hAnsi="Times New Roman" w:eastAsia="宋体" w:cs="Times New Roman"/>
      <w:szCs w:val="20"/>
    </w:rPr>
  </w:style>
  <w:style w:type="paragraph" w:styleId="3">
    <w:name w:val="footer"/>
    <w:basedOn w:val="1"/>
    <w:qFormat/>
    <w:uiPriority w:val="0"/>
    <w:pPr>
      <w:tabs>
        <w:tab w:val="center" w:pos="4153"/>
        <w:tab w:val="right" w:pos="8306"/>
      </w:tabs>
      <w:snapToGrid w:val="0"/>
      <w:jc w:val="left"/>
    </w:pPr>
    <w:rPr>
      <w:sz w:val="18"/>
    </w:rPr>
  </w:style>
  <w:style w:type="character" w:styleId="6">
    <w:name w:val="Strong"/>
    <w:qFormat/>
    <w:uiPriority w:val="22"/>
    <w:rPr>
      <w:b/>
      <w:bCs/>
    </w:rPr>
  </w:style>
  <w:style w:type="character" w:customStyle="1" w:styleId="7">
    <w:name w:val="页码1"/>
    <w:basedOn w:val="5"/>
    <w:autoRedefine/>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2023-12-19T07:13:21Z</dcterms:created>
  <dc:creator>Administrator</dc:creator>
  <cp:lastModifiedBy>海阔天空</cp:lastModifiedBy>
  <dcterms:modified xsi:type="dcterms:W3CDTF">2023-12-19T07:13:43Z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998733DEA40D48FFA606F08C4160DB54_12</vt:lpwstr>
  </property>
</Properties>
</file>